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16" w:rsidRDefault="00952996" w:rsidP="00485BA8">
      <w:pPr>
        <w:pStyle w:val="Title"/>
        <w:jc w:val="center"/>
        <w:rPr>
          <w:color w:val="4A442A" w:themeColor="background2" w:themeShade="40"/>
        </w:rPr>
      </w:pPr>
      <w:r w:rsidRPr="002132E6">
        <w:rPr>
          <w:color w:val="4A442A" w:themeColor="background2" w:themeShade="40"/>
        </w:rPr>
        <w:t>Open</w:t>
      </w:r>
      <w:r w:rsidRPr="002132E6">
        <w:rPr>
          <w:color w:val="31849B" w:themeColor="accent5" w:themeShade="BF"/>
        </w:rPr>
        <w:t>Door</w:t>
      </w:r>
      <w:r w:rsidRPr="002132E6">
        <w:rPr>
          <w:color w:val="4A442A" w:themeColor="background2" w:themeShade="40"/>
        </w:rPr>
        <w:t xml:space="preserve"> </w:t>
      </w:r>
    </w:p>
    <w:p w:rsidR="00DE6851" w:rsidRPr="00BA2616" w:rsidRDefault="00952996" w:rsidP="00485BA8">
      <w:pPr>
        <w:pStyle w:val="Title"/>
        <w:jc w:val="center"/>
        <w:rPr>
          <w:color w:val="4A442A" w:themeColor="background2" w:themeShade="40"/>
          <w:sz w:val="40"/>
          <w:szCs w:val="40"/>
        </w:rPr>
      </w:pPr>
      <w:r w:rsidRPr="00BA2616">
        <w:rPr>
          <w:color w:val="4A442A" w:themeColor="background2" w:themeShade="40"/>
          <w:sz w:val="40"/>
          <w:szCs w:val="40"/>
        </w:rPr>
        <w:t>Counseling and Assessment Services</w:t>
      </w:r>
    </w:p>
    <w:p w:rsidR="00920184" w:rsidRDefault="00920184" w:rsidP="00920184">
      <w:pPr>
        <w:jc w:val="center"/>
        <w:rPr>
          <w:b/>
          <w:color w:val="4A442A" w:themeColor="background2" w:themeShade="40"/>
          <w:sz w:val="24"/>
          <w:szCs w:val="24"/>
        </w:rPr>
      </w:pPr>
      <w:r>
        <w:rPr>
          <w:b/>
          <w:color w:val="4A442A" w:themeColor="background2" w:themeShade="40"/>
          <w:sz w:val="24"/>
          <w:szCs w:val="24"/>
        </w:rPr>
        <w:t>109 S. Woodrow Lane, Suite 300 Street Denton, TX  76205     Fax: (940) 381-6789</w:t>
      </w:r>
    </w:p>
    <w:p w:rsidR="00952996" w:rsidRDefault="00952996" w:rsidP="003677F1">
      <w:pPr>
        <w:contextualSpacing/>
        <w:jc w:val="center"/>
        <w:rPr>
          <w:b/>
        </w:rPr>
      </w:pPr>
    </w:p>
    <w:p w:rsidR="00A8080C" w:rsidRDefault="00A8080C" w:rsidP="00A8080C">
      <w:pPr>
        <w:contextualSpacing/>
        <w:jc w:val="center"/>
        <w:rPr>
          <w:b/>
        </w:rPr>
      </w:pPr>
      <w:bookmarkStart w:id="0" w:name="_GoBack"/>
      <w:bookmarkEnd w:id="0"/>
      <w:r>
        <w:rPr>
          <w:b/>
        </w:rPr>
        <w:t xml:space="preserve">INFORMED CONSENT FOR PSYCHOLOGICAL AND </w:t>
      </w:r>
    </w:p>
    <w:p w:rsidR="00A8080C" w:rsidRDefault="00A8080C" w:rsidP="00A8080C">
      <w:pPr>
        <w:contextualSpacing/>
        <w:jc w:val="center"/>
        <w:rPr>
          <w:b/>
        </w:rPr>
      </w:pPr>
      <w:r>
        <w:rPr>
          <w:b/>
        </w:rPr>
        <w:t>SEXUALITY TESTING FOR ADOLESCENTS</w:t>
      </w:r>
    </w:p>
    <w:p w:rsidR="00A8080C" w:rsidRDefault="00A8080C" w:rsidP="00A8080C">
      <w:pPr>
        <w:contextualSpacing/>
        <w:rPr>
          <w:b/>
        </w:rPr>
      </w:pPr>
    </w:p>
    <w:p w:rsidR="00A8080C" w:rsidRDefault="00A8080C" w:rsidP="00A8080C">
      <w:pPr>
        <w:contextualSpacing/>
        <w:rPr>
          <w:b/>
        </w:rPr>
      </w:pPr>
    </w:p>
    <w:p w:rsidR="00A8080C" w:rsidRPr="0040209F" w:rsidRDefault="00A8080C" w:rsidP="00A8080C">
      <w:pPr>
        <w:contextualSpacing/>
      </w:pPr>
      <w:proofErr w:type="gramStart"/>
      <w:r w:rsidRPr="0040209F">
        <w:t xml:space="preserve">As the parent/guardian of </w:t>
      </w:r>
      <w:r w:rsidRPr="0040209F">
        <w:rPr>
          <w:u w:val="single"/>
        </w:rPr>
        <w:tab/>
      </w:r>
      <w:r w:rsidRPr="0040209F">
        <w:rPr>
          <w:u w:val="single"/>
        </w:rPr>
        <w:tab/>
      </w:r>
      <w:r w:rsidRPr="0040209F">
        <w:rPr>
          <w:u w:val="single"/>
        </w:rPr>
        <w:tab/>
      </w:r>
      <w:r w:rsidRPr="0040209F">
        <w:rPr>
          <w:u w:val="single"/>
        </w:rPr>
        <w:tab/>
      </w:r>
      <w:r w:rsidRPr="0040209F">
        <w:rPr>
          <w:u w:val="single"/>
        </w:rPr>
        <w:tab/>
      </w:r>
      <w:r w:rsidRPr="0040209F">
        <w:rPr>
          <w:u w:val="single"/>
        </w:rPr>
        <w:tab/>
      </w:r>
      <w:r w:rsidRPr="0040209F">
        <w:rPr>
          <w:u w:val="single"/>
        </w:rPr>
        <w:tab/>
      </w:r>
      <w:r w:rsidRPr="0040209F">
        <w:rPr>
          <w:u w:val="single"/>
        </w:rPr>
        <w:tab/>
      </w:r>
      <w:r w:rsidRPr="0040209F">
        <w:t xml:space="preserve"> The Counseling Group wishes to inform you of the testing procedures which are part of the evaluation of your child.</w:t>
      </w:r>
      <w:proofErr w:type="gramEnd"/>
      <w:r w:rsidRPr="0040209F">
        <w:t xml:space="preserve">  The testing includes the Minnesota Multiphasic Inventory – Adolescents (MMPI-A) and the Multiphasic Sex Inventory II (MSI-II) </w:t>
      </w:r>
      <w:proofErr w:type="gramStart"/>
      <w:r w:rsidRPr="0040209F">
        <w:t>The</w:t>
      </w:r>
      <w:proofErr w:type="gramEnd"/>
      <w:r w:rsidRPr="0040209F">
        <w:t xml:space="preserve"> MMPI-A will be administered and scored by licensed counselors at this agency.  The MSI raw scores will be forwarded to </w:t>
      </w:r>
      <w:proofErr w:type="spellStart"/>
      <w:r w:rsidRPr="0040209F">
        <w:t>Nicols</w:t>
      </w:r>
      <w:proofErr w:type="spellEnd"/>
      <w:r w:rsidRPr="0040209F">
        <w:t xml:space="preserve"> &amp; </w:t>
      </w:r>
      <w:proofErr w:type="spellStart"/>
      <w:r w:rsidRPr="0040209F">
        <w:t>Molinder</w:t>
      </w:r>
      <w:proofErr w:type="spellEnd"/>
      <w:r w:rsidRPr="0040209F">
        <w:t xml:space="preserve"> Assessments in the state of Washington.  No identifying information will be sent.  Data regarding age, race, educational level, etc. will be included for statistical purposes.  The general purpose of the testing is to help identify psychological/sexual problems and assess treatment progress.</w:t>
      </w:r>
    </w:p>
    <w:p w:rsidR="00A8080C" w:rsidRPr="0040209F" w:rsidRDefault="00A8080C" w:rsidP="00A8080C">
      <w:pPr>
        <w:contextualSpacing/>
      </w:pPr>
    </w:p>
    <w:p w:rsidR="00A8080C" w:rsidRPr="0040209F" w:rsidRDefault="00A8080C" w:rsidP="00A8080C">
      <w:pPr>
        <w:contextualSpacing/>
      </w:pPr>
      <w:r w:rsidRPr="0040209F">
        <w:t>As the child’s parent or guardian, I understand that by signing this release/informed consent form, I agree to all terms and conditions contained herein and that I indemnify and hold harmless,</w:t>
      </w:r>
      <w:r>
        <w:t xml:space="preserve"> </w:t>
      </w:r>
      <w:proofErr w:type="spellStart"/>
      <w:r>
        <w:t>Nic</w:t>
      </w:r>
      <w:r w:rsidRPr="0040209F">
        <w:t>ols</w:t>
      </w:r>
      <w:proofErr w:type="spellEnd"/>
      <w:r w:rsidRPr="0040209F">
        <w:t xml:space="preserve"> &amp; </w:t>
      </w:r>
      <w:proofErr w:type="spellStart"/>
      <w:r w:rsidRPr="0040209F">
        <w:t>Molinder</w:t>
      </w:r>
      <w:proofErr w:type="spellEnd"/>
      <w:r w:rsidRPr="0040209F">
        <w:t xml:space="preserve"> Assessments and The Counseling Group.</w:t>
      </w:r>
    </w:p>
    <w:p w:rsidR="00A8080C" w:rsidRPr="0040209F" w:rsidRDefault="00A8080C" w:rsidP="00A8080C">
      <w:pPr>
        <w:contextualSpacing/>
      </w:pPr>
    </w:p>
    <w:p w:rsidR="00A8080C" w:rsidRDefault="00A8080C" w:rsidP="00A8080C">
      <w:pPr>
        <w:contextualSpacing/>
      </w:pPr>
      <w:r w:rsidRPr="0040209F">
        <w:t xml:space="preserve">The standard fee for this testing is </w:t>
      </w:r>
      <w:r w:rsidRPr="0040209F">
        <w:rPr>
          <w:b/>
        </w:rPr>
        <w:t>$417</w:t>
      </w:r>
      <w:r w:rsidRPr="0040209F">
        <w:t xml:space="preserve"> payable at the time the testing begins.</w:t>
      </w:r>
    </w:p>
    <w:p w:rsidR="00A8080C" w:rsidRDefault="00A8080C" w:rsidP="00A8080C">
      <w:pPr>
        <w:contextualSpacing/>
      </w:pPr>
    </w:p>
    <w:p w:rsidR="00A8080C" w:rsidRDefault="00A8080C" w:rsidP="00A8080C">
      <w:pPr>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A8080C" w:rsidRDefault="00A8080C" w:rsidP="00A8080C">
      <w:pPr>
        <w:contextualSpacing/>
      </w:pPr>
      <w:r>
        <w:t>Parent Signature</w:t>
      </w:r>
      <w:r>
        <w:tab/>
      </w:r>
      <w:r>
        <w:tab/>
      </w:r>
      <w:r>
        <w:tab/>
      </w:r>
      <w:r>
        <w:tab/>
      </w:r>
      <w:r>
        <w:tab/>
      </w:r>
      <w:r>
        <w:tab/>
      </w:r>
      <w:r>
        <w:tab/>
        <w:t>Date</w:t>
      </w:r>
    </w:p>
    <w:p w:rsidR="00A8080C" w:rsidRDefault="00A8080C" w:rsidP="00A8080C">
      <w:pPr>
        <w:contextualSpacing/>
      </w:pPr>
    </w:p>
    <w:p w:rsidR="00A8080C" w:rsidRDefault="00A8080C" w:rsidP="00A8080C">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A8080C" w:rsidRDefault="00A8080C" w:rsidP="00A8080C">
      <w:pPr>
        <w:contextualSpacing/>
      </w:pPr>
      <w:r>
        <w:t>Child Signature</w:t>
      </w:r>
      <w:r>
        <w:tab/>
      </w:r>
      <w:r>
        <w:tab/>
      </w:r>
      <w:r>
        <w:tab/>
      </w:r>
      <w:r>
        <w:tab/>
      </w:r>
      <w:r>
        <w:tab/>
      </w:r>
      <w:r>
        <w:tab/>
      </w:r>
      <w:r>
        <w:tab/>
      </w:r>
      <w:r>
        <w:tab/>
        <w:t>Date</w:t>
      </w:r>
    </w:p>
    <w:p w:rsidR="00A8080C" w:rsidRDefault="00A8080C" w:rsidP="00A8080C">
      <w:pPr>
        <w:contextualSpacing/>
      </w:pPr>
    </w:p>
    <w:p w:rsidR="00A8080C" w:rsidRDefault="00A8080C" w:rsidP="00A8080C">
      <w:pPr>
        <w:contextualSpacing/>
      </w:pPr>
      <w:r>
        <w:t>I certify I have received a copy of this signed Informed Consent:</w:t>
      </w:r>
    </w:p>
    <w:p w:rsidR="00A8080C" w:rsidRDefault="00A8080C" w:rsidP="00A8080C">
      <w:pPr>
        <w:contextualSpacing/>
      </w:pPr>
    </w:p>
    <w:p w:rsidR="00A8080C" w:rsidRDefault="00A8080C" w:rsidP="00A8080C">
      <w:pPr>
        <w:contextualSpacing/>
      </w:pPr>
    </w:p>
    <w:p w:rsidR="00A8080C" w:rsidRDefault="00A8080C" w:rsidP="00A8080C">
      <w:pPr>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A8080C" w:rsidRDefault="00A8080C" w:rsidP="00A8080C">
      <w:pPr>
        <w:contextualSpacing/>
      </w:pPr>
      <w:r>
        <w:t>Parent Signature</w:t>
      </w:r>
      <w:r>
        <w:tab/>
      </w:r>
      <w:r>
        <w:tab/>
      </w:r>
      <w:r>
        <w:tab/>
      </w:r>
      <w:r>
        <w:tab/>
      </w:r>
      <w:r>
        <w:tab/>
      </w:r>
      <w:r>
        <w:tab/>
      </w:r>
      <w:r>
        <w:tab/>
        <w:t>Date</w:t>
      </w:r>
    </w:p>
    <w:p w:rsidR="00A8080C" w:rsidRDefault="00A8080C" w:rsidP="00A8080C">
      <w:pPr>
        <w:contextualSpacing/>
      </w:pPr>
    </w:p>
    <w:p w:rsidR="00A8080C" w:rsidRDefault="00A8080C" w:rsidP="00A8080C">
      <w:pPr>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119BC" w:rsidRDefault="00A8080C" w:rsidP="00A8080C">
      <w:pPr>
        <w:contextualSpacing/>
        <w:jc w:val="center"/>
        <w:rPr>
          <w:b/>
          <w:sz w:val="16"/>
          <w:szCs w:val="16"/>
        </w:rPr>
      </w:pPr>
      <w:r>
        <w:t>Witness</w:t>
      </w:r>
      <w:r>
        <w:tab/>
      </w:r>
      <w:r>
        <w:tab/>
      </w:r>
      <w:r>
        <w:tab/>
      </w:r>
      <w:r>
        <w:tab/>
      </w:r>
      <w:r>
        <w:tab/>
      </w:r>
      <w:r>
        <w:tab/>
      </w:r>
      <w:r>
        <w:tab/>
      </w:r>
    </w:p>
    <w:sectPr w:rsidR="001119BC" w:rsidSect="009D6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485BA8"/>
    <w:rsid w:val="000F58EF"/>
    <w:rsid w:val="001119BC"/>
    <w:rsid w:val="001F3BC3"/>
    <w:rsid w:val="00201931"/>
    <w:rsid w:val="002132E6"/>
    <w:rsid w:val="00216ECE"/>
    <w:rsid w:val="00235CF8"/>
    <w:rsid w:val="003237B3"/>
    <w:rsid w:val="003677F1"/>
    <w:rsid w:val="00423E13"/>
    <w:rsid w:val="004439E9"/>
    <w:rsid w:val="00485BA8"/>
    <w:rsid w:val="004D4749"/>
    <w:rsid w:val="005C4835"/>
    <w:rsid w:val="0063252D"/>
    <w:rsid w:val="0069531E"/>
    <w:rsid w:val="006E67DD"/>
    <w:rsid w:val="007811BC"/>
    <w:rsid w:val="007E5CCB"/>
    <w:rsid w:val="00863514"/>
    <w:rsid w:val="00920184"/>
    <w:rsid w:val="00952996"/>
    <w:rsid w:val="0098757B"/>
    <w:rsid w:val="009D630F"/>
    <w:rsid w:val="00A4374A"/>
    <w:rsid w:val="00A56F18"/>
    <w:rsid w:val="00A8080C"/>
    <w:rsid w:val="00A85695"/>
    <w:rsid w:val="00B07E18"/>
    <w:rsid w:val="00B23B46"/>
    <w:rsid w:val="00BA2616"/>
    <w:rsid w:val="00C36824"/>
    <w:rsid w:val="00C650FF"/>
    <w:rsid w:val="00DE6851"/>
    <w:rsid w:val="00EC05A6"/>
    <w:rsid w:val="00F6755A"/>
    <w:rsid w:val="00FC795E"/>
    <w:rsid w:val="00FD7DA4"/>
    <w:rsid w:val="00FF3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5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BA8"/>
    <w:rPr>
      <w:rFonts w:asciiTheme="majorHAnsi" w:eastAsiaTheme="majorEastAsia" w:hAnsiTheme="majorHAnsi" w:cstheme="majorBidi"/>
      <w:color w:val="17365D" w:themeColor="text2" w:themeShade="BF"/>
      <w:spacing w:val="5"/>
      <w:kern w:val="28"/>
      <w:sz w:val="52"/>
      <w:szCs w:val="52"/>
    </w:rPr>
  </w:style>
  <w:style w:type="character" w:customStyle="1" w:styleId="profiletext1">
    <w:name w:val="profiletext1"/>
    <w:basedOn w:val="DefaultParagraphFont"/>
    <w:rsid w:val="00201931"/>
    <w:rPr>
      <w:rFonts w:ascii="Arial" w:hAnsi="Arial" w:cs="Arial" w:hint="default"/>
      <w:b w:val="0"/>
      <w:bCs w:val="0"/>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5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BA8"/>
    <w:rPr>
      <w:rFonts w:asciiTheme="majorHAnsi" w:eastAsiaTheme="majorEastAsia" w:hAnsiTheme="majorHAnsi" w:cstheme="majorBidi"/>
      <w:color w:val="17365D" w:themeColor="text2" w:themeShade="BF"/>
      <w:spacing w:val="5"/>
      <w:kern w:val="28"/>
      <w:sz w:val="52"/>
      <w:szCs w:val="52"/>
    </w:rPr>
  </w:style>
  <w:style w:type="character" w:customStyle="1" w:styleId="profiletext1">
    <w:name w:val="profiletext1"/>
    <w:basedOn w:val="DefaultParagraphFont"/>
    <w:rsid w:val="00201931"/>
    <w:rPr>
      <w:rFonts w:ascii="Arial" w:hAnsi="Arial" w:cs="Arial" w:hint="default"/>
      <w:b w:val="0"/>
      <w:bCs w:val="0"/>
      <w:color w:val="000000"/>
      <w:sz w:val="21"/>
      <w:szCs w:val="21"/>
    </w:rPr>
  </w:style>
</w:styles>
</file>

<file path=word/webSettings.xml><?xml version="1.0" encoding="utf-8"?>
<w:webSettings xmlns:r="http://schemas.openxmlformats.org/officeDocument/2006/relationships" xmlns:w="http://schemas.openxmlformats.org/wordprocessingml/2006/main">
  <w:divs>
    <w:div w:id="8627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RCP, LLC</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Baker</dc:creator>
  <cp:lastModifiedBy>Denise</cp:lastModifiedBy>
  <cp:revision>3</cp:revision>
  <cp:lastPrinted>2009-03-31T00:15:00Z</cp:lastPrinted>
  <dcterms:created xsi:type="dcterms:W3CDTF">2010-12-21T16:48:00Z</dcterms:created>
  <dcterms:modified xsi:type="dcterms:W3CDTF">2012-01-13T21:29:00Z</dcterms:modified>
</cp:coreProperties>
</file>